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pPr>
      <w:r>
        <w:rPr>
          <w:rStyle w:val="6"/>
          <w:rFonts w:hint="eastAsia" w:ascii="宋体" w:hAnsi="宋体" w:eastAsia="宋体" w:cs="宋体"/>
          <w:color w:val="000000"/>
          <w:sz w:val="28"/>
          <w:szCs w:val="28"/>
          <w:shd w:val="clear" w:fill="FFFFFF"/>
        </w:rPr>
        <w:t>关于修改《建设项目环境影响评价分类管理名录》部分内容的决定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0"/>
        <w:jc w:val="both"/>
        <w:textAlignment w:val="auto"/>
        <w:outlineLvl w:val="9"/>
        <w:rPr>
          <w:rFonts w:ascii="宋体" w:hAnsi="宋体" w:eastAsia="宋体" w:cs="宋体"/>
          <w:color w:val="000000"/>
          <w:kern w:val="0"/>
          <w:sz w:val="20"/>
          <w:szCs w:val="20"/>
          <w:lang w:val="en-US" w:eastAsia="zh-CN" w:bidi="ar"/>
        </w:rPr>
      </w:pPr>
      <w:r>
        <w:rPr>
          <w:rFonts w:ascii="宋体" w:hAnsi="宋体" w:eastAsia="宋体" w:cs="宋体"/>
          <w:b/>
          <w:color w:val="FF0000"/>
          <w:kern w:val="0"/>
          <w:sz w:val="27"/>
          <w:szCs w:val="27"/>
          <w:lang w:val="en-US" w:eastAsia="zh-CN" w:bidi="ar"/>
        </w:rPr>
        <w:t>生态环境部令</w:t>
      </w:r>
      <w:r>
        <w:rPr>
          <w:rFonts w:ascii="宋体" w:hAnsi="宋体" w:eastAsia="宋体" w:cs="宋体"/>
          <w:color w:val="000000"/>
          <w:kern w:val="0"/>
          <w:sz w:val="20"/>
          <w:szCs w:val="20"/>
          <w:lang w:val="en-US" w:eastAsia="zh-CN" w:bidi="ar"/>
        </w:rPr>
        <w:t>部令 第1号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0"/>
        <w:jc w:val="both"/>
        <w:textAlignment w:val="auto"/>
        <w:outlineLvl w:val="9"/>
      </w:pPr>
      <w:r>
        <w:rPr>
          <w:shd w:val="clear" w:fill="FFFFFF"/>
        </w:rPr>
        <w:t>《关于修改〈建设项目环境影响评价分类管理名录〉部分内容的决定》已于2018年4月28日经生态环境部第3次部务会议通过,现予公布，自公布之日起施行。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5520" w:firstLineChars="2300"/>
        <w:jc w:val="both"/>
        <w:textAlignment w:val="auto"/>
        <w:outlineLvl w:val="9"/>
      </w:pPr>
      <w:r>
        <w:rPr>
          <w:shd w:val="clear" w:fill="FFFFFF"/>
        </w:rPr>
        <w:t>生态环境部部长 李干杰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pPr>
      <w:r>
        <w:rPr>
          <w:shd w:val="clear" w:fill="FFFFFF"/>
        </w:rPr>
        <w:t>　</w:t>
      </w:r>
      <w:r>
        <w:rPr>
          <w:rFonts w:hint="eastAsia"/>
          <w:shd w:val="clear" w:fill="FFFFFF"/>
          <w:lang w:val="en-US" w:eastAsia="zh-CN"/>
        </w:rPr>
        <w:t xml:space="preserve">                                             </w:t>
      </w:r>
      <w:r>
        <w:rPr>
          <w:shd w:val="clear" w:fill="FFFFFF"/>
        </w:rPr>
        <w:t>　2018年4月28日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pPr>
      <w:r>
        <w:rPr>
          <w:rStyle w:val="6"/>
          <w:shd w:val="clear" w:fill="FFFFFF"/>
        </w:rPr>
        <w:t>关于修改《建设项目环境影响评价分类管理名录》部分内容的决定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pPr>
      <w:r>
        <w:rPr>
          <w:shd w:val="clear" w:fill="FFFFFF"/>
        </w:rPr>
        <w:t>　　为贯彻落实党中央、国务院关于“简政放权、放管结合、优化服务”改革要求，依据《中华人民共和国环境影响评价法》《建设项目环境保护管理条例》有关规定，现决定对《建设项目环境影响评价分类管理名录》（环境保护部令第44号）的部分内容作以下修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pPr>
      <w:r>
        <w:rPr>
          <w:shd w:val="clear" w:fill="FFFFFF"/>
        </w:rPr>
        <w:t>　　一、将第六条和第七条中的“环境保护部”修改为“生态环境部”。将第六条中的“省级环境保护主管部门”修改为“省级生态环境主管部门”。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pPr>
      <w:r>
        <w:rPr>
          <w:shd w:val="clear" w:fill="FFFFFF"/>
        </w:rPr>
        <w:t>　　二、对项目类别、环评类别部分内容予以修改。修改内容见附件。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pPr>
      <w:r>
        <w:rPr>
          <w:shd w:val="clear" w:fill="FFFFFF"/>
        </w:rPr>
        <w:t>　　本决定自公布之日起施行。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pPr>
      <w:r>
        <w:rPr>
          <w:shd w:val="clear" w:fill="FFFFFF"/>
        </w:rPr>
        <w:t>　　《建设项目环境影响评价分类管理名录》（环境保护部令第44号）根据本决定作相应修改，重新公布。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pPr>
      <w:r>
        <w:rPr>
          <w:shd w:val="clear" w:fill="FFFFFF"/>
        </w:rPr>
        <w:t>　　</w:t>
      </w:r>
      <w:r>
        <w:rPr>
          <w:rStyle w:val="6"/>
          <w:shd w:val="clear" w:fill="FFFFFF"/>
        </w:rPr>
        <w:t xml:space="preserve">附件 </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Style w:val="6"/>
          <w:shd w:val="clear" w:fill="FFFFFF"/>
        </w:rPr>
      </w:pPr>
      <w:r>
        <w:rPr>
          <w:rStyle w:val="6"/>
          <w:shd w:val="clear" w:fill="FFFFFF"/>
        </w:rPr>
        <w:t>《建设项目环境影响评价分类管理名录》修改单</w:t>
      </w:r>
    </w:p>
    <w:tbl>
      <w:tblPr>
        <w:tblStyle w:val="7"/>
        <w:tblW w:w="10497" w:type="dxa"/>
        <w:jc w:val="center"/>
        <w:tblInd w:w="-98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413"/>
        <w:gridCol w:w="1511"/>
        <w:gridCol w:w="3074"/>
        <w:gridCol w:w="1562"/>
        <w:gridCol w:w="1354"/>
        <w:gridCol w:w="258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37" w:hRule="atLeast"/>
          <w:tblHeader/>
          <w:jc w:val="center"/>
        </w:trPr>
        <w:tc>
          <w:tcPr>
            <w:tcW w:w="192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right"/>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环评类别</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left"/>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项目类别</w:t>
            </w:r>
          </w:p>
        </w:tc>
        <w:tc>
          <w:tcPr>
            <w:tcW w:w="307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报  告  书</w:t>
            </w:r>
          </w:p>
        </w:tc>
        <w:tc>
          <w:tcPr>
            <w:tcW w:w="156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报 告 表</w:t>
            </w:r>
          </w:p>
        </w:tc>
        <w:tc>
          <w:tcPr>
            <w:tcW w:w="135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登 记 表</w:t>
            </w:r>
          </w:p>
        </w:tc>
        <w:tc>
          <w:tcPr>
            <w:tcW w:w="258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本栏目环境敏感区含义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82"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二、农副食品加工业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6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2</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粮食及饲料加工</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含发酵工艺的</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6"/>
                <w:kern w:val="0"/>
                <w:sz w:val="21"/>
                <w:szCs w:val="21"/>
                <w:u w:val="none"/>
                <w:lang w:val="en-US" w:eastAsia="zh-CN" w:bidi="ar"/>
              </w:rPr>
              <w:t>年加工1万吨及</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6"/>
                <w:kern w:val="0"/>
                <w:sz w:val="21"/>
                <w:szCs w:val="21"/>
                <w:u w:val="none"/>
                <w:lang w:val="en-US" w:eastAsia="zh-CN" w:bidi="ar"/>
              </w:rPr>
              <w:t>以上的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6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4</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制糖、糖制品加工</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原糖生产</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其他</w:t>
            </w:r>
            <w:r>
              <w:rPr>
                <w:rFonts w:hint="eastAsia" w:ascii="华文仿宋" w:hAnsi="华文仿宋" w:eastAsia="华文仿宋" w:cs="华文仿宋"/>
                <w:kern w:val="0"/>
                <w:sz w:val="21"/>
                <w:szCs w:val="21"/>
                <w:u w:val="none"/>
                <w:lang w:val="en-US" w:eastAsia="zh-CN" w:bidi="ar"/>
              </w:rPr>
              <w:t>（单纯分装的</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除外）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单纯分装的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82"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三、食品制造业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6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11</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方便食品制造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除手工制作和单纯分装外的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手工制作或单纯分装的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39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12</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乳制品制造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除单纯分装外的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单纯分装的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6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13</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调味品、发酵制品制造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6"/>
                <w:kern w:val="0"/>
                <w:sz w:val="21"/>
                <w:szCs w:val="21"/>
                <w:u w:val="none"/>
                <w:lang w:val="en-US" w:eastAsia="zh-CN" w:bidi="ar"/>
              </w:rPr>
              <w:t>含发酵工艺的味精、柠檬酸、赖氨酸等制造</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其他（单纯分装的</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除外）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单纯分装的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6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15</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饲料添加剂、食品添加剂制造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除单纯混合和</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分装外的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4"/>
                <w:kern w:val="0"/>
                <w:sz w:val="21"/>
                <w:szCs w:val="21"/>
                <w:u w:val="none"/>
                <w:lang w:val="en-US" w:eastAsia="zh-CN" w:bidi="ar"/>
              </w:rPr>
              <w:t>单纯混合或</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4"/>
                <w:kern w:val="0"/>
                <w:sz w:val="21"/>
                <w:szCs w:val="21"/>
                <w:u w:val="none"/>
                <w:lang w:val="en-US" w:eastAsia="zh-CN" w:bidi="ar"/>
              </w:rPr>
              <w:t>分装的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271"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16</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营养食品、保健食品、冷冻饮品、食用冰制造及其他食品制造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除手工制作和</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单纯分装外的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手工制作或</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单纯分装的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25"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四、酒、饮料制造业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3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17</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4"/>
                <w:kern w:val="0"/>
                <w:sz w:val="21"/>
                <w:szCs w:val="21"/>
                <w:u w:val="none"/>
                <w:lang w:val="en-US" w:eastAsia="zh-CN" w:bidi="ar"/>
              </w:rPr>
              <w:t>酒精饮料及酒类制造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有发酵工艺的（以水果或水果汁为原料年生产能力1000千升以下的除外）</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其他（单纯勾兑的</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除外）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单纯勾兑的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3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18</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果菜汁类及其他软饮料制造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除单纯调制外的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单纯调制的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25"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五、烟草制品业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2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19</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卷烟</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全部</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25"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二十八、计算机、通信和其他电子设备制造业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461"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80</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计算机制造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显示器件；集成电路；有分割、焊接、酸洗或有机溶剂清洗工艺的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2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81</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智能消费设备制造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全部</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172"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82</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电子器件制造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显示器件；集成电路；有分割、焊接、酸洗或有机溶剂清洗工艺的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13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83</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电子元件及电子专用材料制造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印刷电路板；电子专用材料；有分割、焊接、酸洗或有机溶剂清洗工艺的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2098"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84</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通信设备制造、广播电视设备制造、雷达及配套设备制造、非专业视听设备制造及其他电子设备制造</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全部</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510"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三十四、环境治理业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94"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99</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left"/>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脱硫、脱硝、除尘、VOCs治理等工程</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spacing w:val="4"/>
                <w:kern w:val="0"/>
                <w:sz w:val="21"/>
                <w:szCs w:val="21"/>
                <w:u w:val="none"/>
                <w:lang w:val="en-US" w:eastAsia="zh-CN" w:bidi="ar"/>
              </w:rPr>
              <w:t>新建脱硫、脱硝、除尘</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510"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三十六、房地产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2556"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106</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房地产开发、宾馆、酒店、办公用房、标准厂房等</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涉及环境敏感区的；需自建配套污水处理设施的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6"/>
                <w:kern w:val="0"/>
                <w:sz w:val="21"/>
                <w:szCs w:val="21"/>
                <w:u w:val="none"/>
                <w:lang w:val="en-US" w:eastAsia="zh-CN" w:bidi="ar"/>
              </w:rPr>
              <w:t>第三条（一）中的全部区域；</w:t>
            </w:r>
            <w:r>
              <w:rPr>
                <w:rFonts w:hint="eastAsia" w:ascii="华文仿宋" w:hAnsi="华文仿宋" w:eastAsia="华文仿宋" w:cs="华文仿宋"/>
                <w:color w:val="000000"/>
                <w:spacing w:val="-6"/>
                <w:kern w:val="0"/>
                <w:sz w:val="21"/>
                <w:szCs w:val="21"/>
                <w:u w:val="none"/>
                <w:lang w:val="en-US" w:eastAsia="zh-CN" w:bidi="ar"/>
              </w:rPr>
              <w:t>第三条（二）中的基本农田保护区、基本草原、森林公园、地质公园、重要湿地、天然林、野生动物重要栖息地、重点保护野生植物生长繁殖地；</w:t>
            </w:r>
            <w:r>
              <w:rPr>
                <w:rFonts w:hint="eastAsia" w:ascii="华文仿宋" w:hAnsi="华文仿宋" w:eastAsia="华文仿宋" w:cs="华文仿宋"/>
                <w:spacing w:val="-6"/>
                <w:kern w:val="0"/>
                <w:sz w:val="21"/>
                <w:szCs w:val="21"/>
                <w:u w:val="none"/>
                <w:lang w:val="en-US" w:eastAsia="zh-CN" w:bidi="ar"/>
              </w:rPr>
              <w:t>第三条（三）中的文物保护单位，针对标准厂房增加第三条（三）中的以居住、医疗卫生、文化教育、科研、行政办公等为主要功能的区域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25"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三十九、卫生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728"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111</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医院、专科防治院（所、站）、社区医疗、卫生院（所、站）、血站、急救中心、妇幼保健院、疗养院等卫生机构</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新建、扩建床位500张及以上的</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其他（20张床位以下的除外）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20张床位以下的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25"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四十、社会事业与服务业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65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113</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学校、幼儿园、托儿所、福利院、养老院</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涉及环境敏感区的；有化学、生物等实验室的学校</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left"/>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其他（建筑面积5000平方米以下的除外）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4"/>
                <w:kern w:val="0"/>
                <w:sz w:val="21"/>
                <w:szCs w:val="21"/>
                <w:u w:val="none"/>
                <w:lang w:val="en-US" w:eastAsia="zh-CN" w:bidi="ar"/>
              </w:rPr>
              <w:t>第三条（一）中的全部区域；</w:t>
            </w:r>
            <w:r>
              <w:rPr>
                <w:rFonts w:hint="eastAsia" w:ascii="华文仿宋" w:hAnsi="华文仿宋" w:eastAsia="华文仿宋" w:cs="华文仿宋"/>
                <w:color w:val="000000"/>
                <w:spacing w:val="4"/>
                <w:kern w:val="0"/>
                <w:sz w:val="21"/>
                <w:szCs w:val="21"/>
                <w:u w:val="none"/>
                <w:lang w:val="en-US" w:eastAsia="zh-CN" w:bidi="ar"/>
              </w:rPr>
              <w:t>第三条（二）中的基本农田保护区、基本草原、森林公园、地质公园、重要湿地、天然林、野生动物重要栖息地、重点保护野生植物生长繁殖地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2373"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114</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批发、零售市场</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4"/>
                <w:kern w:val="0"/>
                <w:sz w:val="21"/>
                <w:szCs w:val="21"/>
                <w:u w:val="none"/>
                <w:lang w:val="en-US" w:eastAsia="zh-CN" w:bidi="ar"/>
              </w:rPr>
              <w:t>第三条（一）中的全部区域；</w:t>
            </w:r>
            <w:r>
              <w:rPr>
                <w:rFonts w:hint="eastAsia" w:ascii="华文仿宋" w:hAnsi="华文仿宋" w:eastAsia="华文仿宋" w:cs="华文仿宋"/>
                <w:color w:val="000000"/>
                <w:spacing w:val="4"/>
                <w:kern w:val="0"/>
                <w:sz w:val="21"/>
                <w:szCs w:val="21"/>
                <w:u w:val="none"/>
                <w:lang w:val="en-US" w:eastAsia="zh-CN" w:bidi="ar"/>
              </w:rPr>
              <w:t>第三条（二）中的基本农田保护区、基本草原、森林公园、地质公园、重要湿地、天然林、野生动物重要栖息地、重点保护野生植物生长繁殖地；</w:t>
            </w:r>
            <w:r>
              <w:rPr>
                <w:rFonts w:hint="eastAsia" w:ascii="华文仿宋" w:hAnsi="华文仿宋" w:eastAsia="华文仿宋" w:cs="华文仿宋"/>
                <w:spacing w:val="4"/>
                <w:kern w:val="0"/>
                <w:sz w:val="21"/>
                <w:szCs w:val="21"/>
                <w:u w:val="none"/>
                <w:lang w:val="en-US" w:eastAsia="zh-CN" w:bidi="ar"/>
              </w:rPr>
              <w:t>第三条（三）中的文物保护单位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029"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116</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宾馆饭店及医疗机构衣物集中洗涤、餐具集中清洗消毒</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需自建配套污水处理设施的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2384"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118</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展览馆、博物馆、美术馆、影剧院、音乐厅、文化馆、图书馆、档案馆、纪念馆、体育场、体育馆等</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4"/>
                <w:kern w:val="0"/>
                <w:sz w:val="21"/>
                <w:szCs w:val="21"/>
                <w:u w:val="none"/>
                <w:lang w:val="en-US" w:eastAsia="zh-CN" w:bidi="ar"/>
              </w:rPr>
              <w:t>第三条（一）中的全部区域；</w:t>
            </w:r>
            <w:r>
              <w:rPr>
                <w:rFonts w:hint="eastAsia" w:ascii="华文仿宋" w:hAnsi="华文仿宋" w:eastAsia="华文仿宋" w:cs="华文仿宋"/>
                <w:color w:val="000000"/>
                <w:spacing w:val="4"/>
                <w:kern w:val="0"/>
                <w:sz w:val="21"/>
                <w:szCs w:val="21"/>
                <w:u w:val="none"/>
                <w:lang w:val="en-US" w:eastAsia="zh-CN" w:bidi="ar"/>
              </w:rPr>
              <w:t>第三条（二）中的基本农田保护区、基本草原、森林公园、地质公园、重要湿地、天然林、野生动物重要栖息地、重点保护野生植物生长繁殖地；</w:t>
            </w:r>
            <w:r>
              <w:rPr>
                <w:rFonts w:hint="eastAsia" w:ascii="华文仿宋" w:hAnsi="华文仿宋" w:eastAsia="华文仿宋" w:cs="华文仿宋"/>
                <w:spacing w:val="4"/>
                <w:kern w:val="0"/>
                <w:sz w:val="21"/>
                <w:szCs w:val="21"/>
                <w:u w:val="none"/>
                <w:lang w:val="en-US" w:eastAsia="zh-CN" w:bidi="ar"/>
              </w:rPr>
              <w:t>第三条（三）中的文物保护单位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3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119</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公园（含动物园、植物园、主题公园）</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特大型、大型主题公园</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其他（城市公园和植物园除外）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6"/>
                <w:kern w:val="0"/>
                <w:sz w:val="21"/>
                <w:szCs w:val="21"/>
                <w:u w:val="none"/>
                <w:lang w:val="en-US" w:eastAsia="zh-CN" w:bidi="ar"/>
              </w:rPr>
              <w:t>城市公园、植物园</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252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120</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旅游开发</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涉及环境敏感区的缆车、索道建设；海上娱乐及运动、海上景观开发</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第三条（一）中的全部区域；第三条（二）中的森林公园、地质公园、重要湿地、天然林、野生动物重要栖息地、重点保护野生植物生长繁殖地、重要水生生物的自然产卵场、索饵场、越冬场和洄游通道、封闭及半封闭海域；第三条（三）中的文物保护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853"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123</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4"/>
                <w:kern w:val="0"/>
                <w:sz w:val="21"/>
                <w:szCs w:val="21"/>
                <w:u w:val="none"/>
                <w:lang w:val="en-US" w:eastAsia="zh-CN" w:bidi="ar"/>
              </w:rPr>
              <w:t>驾驶员训练基地、公交枢纽、大型停车场、机动车检测场</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6"/>
                <w:kern w:val="0"/>
                <w:sz w:val="21"/>
                <w:szCs w:val="21"/>
                <w:u w:val="none"/>
                <w:lang w:val="en-US" w:eastAsia="zh-CN" w:bidi="ar"/>
              </w:rPr>
              <w:t>第三条（一）中的全部区域；</w:t>
            </w:r>
            <w:r>
              <w:rPr>
                <w:rFonts w:hint="eastAsia" w:ascii="华文仿宋" w:hAnsi="华文仿宋" w:eastAsia="华文仿宋" w:cs="华文仿宋"/>
                <w:color w:val="000000"/>
                <w:spacing w:val="-6"/>
                <w:kern w:val="0"/>
                <w:sz w:val="21"/>
                <w:szCs w:val="21"/>
                <w:u w:val="none"/>
                <w:lang w:val="en-US" w:eastAsia="zh-CN" w:bidi="ar"/>
              </w:rPr>
              <w:t>第三条（二）中的基本农田保护区、基本草原、森林公园、地质公园、重要湿地、天然林、野生动物重要栖息地、重点保护野生植物生长繁殖地；</w:t>
            </w:r>
            <w:r>
              <w:rPr>
                <w:rFonts w:hint="eastAsia" w:ascii="华文仿宋" w:hAnsi="华文仿宋" w:eastAsia="华文仿宋" w:cs="华文仿宋"/>
                <w:spacing w:val="-6"/>
                <w:kern w:val="0"/>
                <w:sz w:val="21"/>
                <w:szCs w:val="21"/>
                <w:u w:val="none"/>
                <w:lang w:val="en-US" w:eastAsia="zh-CN" w:bidi="ar"/>
              </w:rPr>
              <w:t>第三条（三）中的文物保护单位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814"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125</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洗车场</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w:t>
            </w:r>
            <w:r>
              <w:rPr>
                <w:rFonts w:hint="eastAsia" w:ascii="华文仿宋" w:hAnsi="华文仿宋" w:eastAsia="华文仿宋" w:cs="华文仿宋"/>
                <w:color w:val="000000"/>
                <w:kern w:val="0"/>
                <w:sz w:val="21"/>
                <w:szCs w:val="21"/>
                <w:u w:val="none"/>
                <w:lang w:val="en-US" w:eastAsia="zh-CN" w:bidi="ar"/>
              </w:rPr>
              <w:t>危险化学品运输车辆清洗</w:t>
            </w:r>
            <w:r>
              <w:rPr>
                <w:rFonts w:hint="eastAsia" w:ascii="华文仿宋" w:hAnsi="华文仿宋" w:eastAsia="华文仿宋" w:cs="华文仿宋"/>
                <w:kern w:val="0"/>
                <w:sz w:val="21"/>
                <w:szCs w:val="21"/>
                <w:u w:val="none"/>
                <w:lang w:val="en-US" w:eastAsia="zh-CN" w:bidi="ar"/>
              </w:rPr>
              <w:t>场</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第三条（一）中的全部区域；第三条（二）中的基本农田保护区</w:t>
            </w:r>
            <w:r>
              <w:rPr>
                <w:rFonts w:hint="eastAsia" w:ascii="华文仿宋" w:hAnsi="华文仿宋" w:eastAsia="华文仿宋" w:cs="华文仿宋"/>
                <w:color w:val="000000"/>
                <w:kern w:val="0"/>
                <w:sz w:val="21"/>
                <w:szCs w:val="21"/>
                <w:u w:val="none"/>
                <w:lang w:val="en-US" w:eastAsia="zh-CN" w:bidi="ar"/>
              </w:rPr>
              <w:t>、基本草原、森林公园、地质公园、重要湿地、天然林、野生动物重要栖息地、重点保护野生植物生长繁殖地</w:t>
            </w:r>
            <w:r>
              <w:rPr>
                <w:rFonts w:hint="eastAsia" w:ascii="华文仿宋" w:hAnsi="华文仿宋" w:eastAsia="华文仿宋" w:cs="华文仿宋"/>
                <w:kern w:val="0"/>
                <w:sz w:val="21"/>
                <w:szCs w:val="21"/>
                <w:u w:val="none"/>
                <w:lang w:val="en-US" w:eastAsia="zh-CN" w:bidi="ar"/>
              </w:rPr>
              <w:t>；第三条（三）中的全部区域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765"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126</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left"/>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汽车、摩托车维修场所</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left"/>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涉及环境敏感区的；有喷漆工艺的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color w:val="000000"/>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第三条（一）中的全部区域；第三条（三）中的全部区域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510"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四十九、交通运输业、管道运输业和仓储业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304"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157</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等级公路（不含维护，不含改扩建四级公路）</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新建30公里以上的三级及以上等级公路；新建涉及环境敏感区的1公里及以上的隧道；新建涉及环境敏感区的主桥长度1公里及以上的桥梁</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其他（配套设施、不涉及环境敏感区的四级公路除外）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配套设施、不涉及环境敏感区的四级公路</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第三条（一）中的全部区域；第三条（二）中的全部区域；第三条（三）中的全部区域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680"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172</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城市道路（不含维护，不含支路）</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新建快速路、干道</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90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173</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城市桥梁、隧道（不含人行天桥、人行地道）</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全部</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510" w:hRule="atLeast"/>
          <w:jc w:val="center"/>
        </w:trPr>
        <w:tc>
          <w:tcPr>
            <w:tcW w:w="10497"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b/>
                <w:kern w:val="0"/>
                <w:sz w:val="21"/>
                <w:szCs w:val="21"/>
                <w:u w:val="none"/>
                <w:lang w:val="en-US" w:eastAsia="zh-CN" w:bidi="ar"/>
              </w:rPr>
              <w:t>五十、核与辐射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107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183</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电视塔台</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涉及环境敏感区的100千瓦及以上的</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第三条（三）中的以居住、医疗卫生、文化教育、科研、行政办公等为主要功能的区域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90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184</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卫星地球上行站</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第三条（三）中的以居住、医疗卫生、文化教育、科研、行政办公等为主要功能的区域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90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185</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雷达</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涉及环境敏感区的</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其他</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第三条（三）中的以居住、医疗卫生、文化教育、科研、行政办公等为主要功能的区域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5812"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187</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核动力厂（核电厂、核热电厂、核供汽供热厂等）；反应堆（研究堆、实验堆、临界装置等）；核燃料生产、加工、贮存、后处理；放射性废物贮存、处理或处置；上述项目的退役。放射性污染治理项目</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新建、扩建（独立的放射性废物贮存设施除外）</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spacing w:val="-6"/>
                <w:kern w:val="0"/>
                <w:sz w:val="21"/>
                <w:szCs w:val="21"/>
                <w:u w:val="none"/>
                <w:lang w:val="en-US" w:eastAsia="zh-CN" w:bidi="ar"/>
              </w:rPr>
              <w:t>主生产工艺或安全重要构筑物的重大变更，但源项不显著增加；次临界装置的新建、扩建；独立的放射性废物贮存设施</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核设施控制区范围内新增的不带放射性的实验室、试验装置、维修车间、仓库、办公设施等</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3907" w:hRule="atLeast"/>
          <w:jc w:val="center"/>
        </w:trPr>
        <w:tc>
          <w:tcPr>
            <w:tcW w:w="4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191</w:t>
            </w:r>
          </w:p>
        </w:tc>
        <w:tc>
          <w:tcPr>
            <w:tcW w:w="15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left"/>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核技术利用建设项目（不含在已许可场所增加不超出已许可活动种类和不高于已许可范围等级的核素或射线装置）</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生产放射性同位素的（制备PET用放射性药物的除外）；使用I类放射源的（医疗使用的除外）；销售（含建造）、使用I类射线装置的；甲级非密封放射性物质工作场所</w:t>
            </w:r>
          </w:p>
        </w:tc>
        <w:tc>
          <w:tcPr>
            <w:tcW w:w="1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制备PET用放射性药物的；医疗使用Ⅰ类放射源的；使用Ⅱ类、Ⅲ类放射源的；生产、使用Ⅱ类射线装置的；乙、丙级非密封放射性物质工作场所（医疗机构使用植入治疗用放射性粒子源的除外）；在野外进行放射性同位素示踪试验的</w:t>
            </w:r>
          </w:p>
        </w:tc>
        <w:tc>
          <w:tcPr>
            <w:tcW w:w="13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u w:val="none"/>
                <w:lang w:val="en-US" w:eastAsia="zh-CN" w:bidi="ar"/>
              </w:rPr>
              <w:t>销售Ⅰ类、Ⅱ类、Ⅲ类、Ⅳ类、Ⅴ类放射源的；使用Ⅳ类、Ⅴ类放射源的；医疗机构使用植入治疗用放射性粒子源的；销售非密封放射性物质的；销售Ⅱ类射线装置的；生产、销售、使用Ⅲ类射线装置的</w:t>
            </w:r>
          </w:p>
        </w:tc>
        <w:tc>
          <w:tcPr>
            <w:tcW w:w="2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center"/>
              <w:textAlignment w:val="auto"/>
              <w:outlineLvl w:val="9"/>
              <w:rPr>
                <w:rFonts w:hint="eastAsia" w:ascii="华文仿宋" w:hAnsi="华文仿宋" w:eastAsia="华文仿宋" w:cs="华文仿宋"/>
                <w:sz w:val="21"/>
                <w:szCs w:val="21"/>
                <w:u w:val="none"/>
              </w:rPr>
            </w:pP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Style w:val="6"/>
          <w:shd w:val="clear" w:fill="FFFFFF"/>
        </w:rPr>
      </w:pPr>
    </w:p>
    <w:p>
      <w:pPr>
        <w:keepNext w:val="0"/>
        <w:keepLines w:val="0"/>
        <w:pageBreakBefore w:val="0"/>
        <w:kinsoku/>
        <w:wordWrap/>
        <w:overflowPunct/>
        <w:topLinePunct w:val="0"/>
        <w:autoSpaceDE/>
        <w:autoSpaceDN/>
        <w:bidi w:val="0"/>
        <w:adjustRightInd/>
        <w:snapToGrid/>
        <w:spacing w:afterAutospacing="0" w:line="560" w:lineRule="exact"/>
        <w:ind w:left="0" w:leftChars="0" w:right="0" w:rightChars="0"/>
        <w:jc w:val="both"/>
        <w:textAlignment w:val="auto"/>
        <w:outlineLvl w:val="9"/>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52F8F"/>
    <w:rsid w:val="08744155"/>
    <w:rsid w:val="72266DE5"/>
    <w:rsid w:val="74E52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2018-05-02T01:13:00Z</dcterms:created>
  <dc:creator>清南</dc:creator>
  <cp:lastModifiedBy>清南</cp:lastModifiedBy>
  <dcterms:modified xsi:type="dcterms:W3CDTF">2018-05-02T01:20:26Z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