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2020年武侯区《成都市流动人员随迁子女接受义务教育通知书》</w:t>
      </w:r>
    </w:p>
    <w:p>
      <w:pPr>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办理须知</w:t>
      </w:r>
    </w:p>
    <w:p>
      <w:pPr>
        <w:pStyle w:val="4"/>
        <w:ind w:left="720" w:firstLine="0" w:firstLineChars="0"/>
        <w:jc w:val="left"/>
        <w:rPr>
          <w:rFonts w:hint="eastAsia" w:ascii="黑体" w:hAnsi="华文仿宋" w:eastAsia="黑体"/>
          <w:color w:val="000000" w:themeColor="text1"/>
          <w:sz w:val="30"/>
          <w:szCs w:val="30"/>
          <w14:textFill>
            <w14:solidFill>
              <w14:schemeClr w14:val="tx1"/>
            </w14:solidFill>
          </w14:textFill>
        </w:rPr>
      </w:pP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30"/>
          <w:szCs w:val="30"/>
          <w14:textFill>
            <w14:solidFill>
              <w14:schemeClr w14:val="tx1"/>
            </w14:solidFill>
          </w14:textFill>
        </w:rPr>
        <w:t xml:space="preserve">  </w:t>
      </w:r>
      <w:r>
        <w:rPr>
          <w:rFonts w:hint="eastAsia" w:ascii="黑体" w:hAnsi="华文仿宋" w:eastAsia="黑体"/>
          <w:color w:val="000000" w:themeColor="text1"/>
          <w:sz w:val="30"/>
          <w:szCs w:val="30"/>
          <w:lang w:val="en-US" w:eastAsia="zh-CN"/>
          <w14:textFill>
            <w14:solidFill>
              <w14:schemeClr w14:val="tx1"/>
            </w14:solidFill>
          </w14:textFill>
        </w:rPr>
        <w:t xml:space="preserve"> </w:t>
      </w:r>
      <w:r>
        <w:rPr>
          <w:rFonts w:hint="eastAsia" w:ascii="黑体" w:hAnsi="华文仿宋" w:eastAsia="黑体"/>
          <w:color w:val="000000" w:themeColor="text1"/>
          <w:sz w:val="24"/>
          <w:szCs w:val="24"/>
          <w14:textFill>
            <w14:solidFill>
              <w14:schemeClr w14:val="tx1"/>
            </w14:solidFill>
          </w14:textFill>
        </w:rPr>
        <w:t>一、办理对象</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户籍不在成都高新区、成都天府新区、锦江区、青羊区、金牛区、武侯区、成华区（以下简称</w:t>
      </w:r>
      <w:r>
        <w:rPr>
          <w:rFonts w:hint="eastAsia" w:ascii="仿宋_GB2312" w:hAnsi="仿宋_GB2312" w:eastAsia="仿宋_GB2312" w:cs="仿宋_GB2312"/>
          <w:color w:val="000000" w:themeColor="text1"/>
          <w:sz w:val="24"/>
          <w:szCs w:val="24"/>
          <w:lang w:eastAsia="zh-CN"/>
          <w14:textFill>
            <w14:solidFill>
              <w14:schemeClr w14:val="tx1"/>
            </w14:solidFill>
          </w14:textFill>
        </w:rPr>
        <w:t>“5+2”区域</w:t>
      </w:r>
      <w:r>
        <w:rPr>
          <w:rFonts w:hint="eastAsia" w:ascii="仿宋_GB2312" w:hAnsi="仿宋_GB2312" w:eastAsia="仿宋_GB2312" w:cs="仿宋_GB2312"/>
          <w:color w:val="000000" w:themeColor="text1"/>
          <w:sz w:val="24"/>
          <w:szCs w:val="24"/>
          <w14:textFill>
            <w14:solidFill>
              <w14:schemeClr w14:val="tx1"/>
            </w14:solidFill>
          </w14:textFill>
        </w:rPr>
        <w:t>），而到</w:t>
      </w:r>
      <w:r>
        <w:rPr>
          <w:rFonts w:hint="eastAsia" w:ascii="仿宋_GB2312" w:hAnsi="仿宋_GB2312" w:eastAsia="仿宋_GB2312" w:cs="仿宋_GB2312"/>
          <w:color w:val="000000" w:themeColor="text1"/>
          <w:sz w:val="24"/>
          <w:szCs w:val="24"/>
          <w:lang w:eastAsia="zh-CN"/>
          <w14:textFill>
            <w14:solidFill>
              <w14:schemeClr w14:val="tx1"/>
            </w14:solidFill>
          </w14:textFill>
        </w:rPr>
        <w:t>“5+2”区域</w:t>
      </w:r>
      <w:r>
        <w:rPr>
          <w:rFonts w:hint="eastAsia" w:ascii="仿宋_GB2312" w:hAnsi="仿宋_GB2312" w:eastAsia="仿宋_GB2312" w:cs="仿宋_GB2312"/>
          <w:color w:val="000000" w:themeColor="text1"/>
          <w:sz w:val="24"/>
          <w:szCs w:val="24"/>
          <w14:textFill>
            <w14:solidFill>
              <w14:schemeClr w14:val="tx1"/>
            </w14:solidFill>
          </w14:textFill>
        </w:rPr>
        <w:t>务工，在武侯区居住满一年的居住证持有人以及本市户籍跨行政区域的流动人员。</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黑体" w:hAnsi="华文仿宋" w:eastAsia="黑体"/>
          <w:color w:val="000000" w:themeColor="text1"/>
          <w:sz w:val="24"/>
          <w:szCs w:val="24"/>
          <w14:textFill>
            <w14:solidFill>
              <w14:schemeClr w14:val="tx1"/>
            </w14:solidFill>
          </w14:textFill>
        </w:rPr>
        <w:t>二、办理时间及地点</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时间：2020年5月的法定工作日</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地点：申请人居住证地址所属的街道办事处（含武侯新城管委会）</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黑体" w:hAnsi="华文仿宋" w:eastAsia="黑体"/>
          <w:color w:val="000000" w:themeColor="text1"/>
          <w:sz w:val="24"/>
          <w:szCs w:val="24"/>
          <w14:textFill>
            <w14:solidFill>
              <w14:schemeClr w14:val="tx1"/>
            </w14:solidFill>
          </w14:textFill>
        </w:rPr>
        <w:t>三、办理流程</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黑体" w:hAnsi="华文仿宋" w:eastAsia="黑体"/>
          <w:color w:val="000000" w:themeColor="text1"/>
          <w:sz w:val="24"/>
          <w:szCs w:val="24"/>
          <w14:textFill>
            <w14:solidFill>
              <w14:schemeClr w14:val="tx1"/>
            </w14:solidFill>
          </w14:textFill>
        </w:rPr>
        <w:t>（一）5月工作日</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1.向居住证地址所属的街道办事处（含武侯新城管委会）登记点提交申请和相关证明材料。</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2.各登记点审核材料，对通过审核的申请人发放《成都市流动人员随迁子女接受义务教育通知书》（以下简称：通知书）。通知书原件由申请人本人妥善保管。已在成都市</w:t>
      </w:r>
      <w:r>
        <w:rPr>
          <w:rFonts w:hint="eastAsia" w:ascii="仿宋_GB2312" w:hAnsi="仿宋_GB2312" w:eastAsia="仿宋_GB2312" w:cs="仿宋_GB2312"/>
          <w:color w:val="000000" w:themeColor="text1"/>
          <w:sz w:val="24"/>
          <w:szCs w:val="24"/>
          <w:lang w:eastAsia="zh-CN"/>
          <w14:textFill>
            <w14:solidFill>
              <w14:schemeClr w14:val="tx1"/>
            </w14:solidFill>
          </w14:textFill>
        </w:rPr>
        <w:t>“5+2”区域</w:t>
      </w:r>
      <w:r>
        <w:rPr>
          <w:rFonts w:hint="eastAsia" w:ascii="仿宋_GB2312" w:hAnsi="仿宋_GB2312" w:eastAsia="仿宋_GB2312" w:cs="仿宋_GB2312"/>
          <w:color w:val="000000" w:themeColor="text1"/>
          <w:sz w:val="24"/>
          <w:szCs w:val="24"/>
          <w14:textFill>
            <w14:solidFill>
              <w14:schemeClr w14:val="tx1"/>
            </w14:solidFill>
          </w14:textFill>
        </w:rPr>
        <w:t>内学校就读的流动人员随迁子女（包括小升初学生），于2020年6月1日前将此次所取得的通知书复印件交回现就读学校。</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黑体" w:hAnsi="华文仿宋" w:eastAsia="黑体"/>
          <w:color w:val="000000" w:themeColor="text1"/>
          <w:sz w:val="24"/>
          <w:szCs w:val="24"/>
          <w14:textFill>
            <w14:solidFill>
              <w14:schemeClr w14:val="tx1"/>
            </w14:solidFill>
          </w14:textFill>
        </w:rPr>
        <w:t>（二）7月第三周</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1.各登记点公布通过审核人员名单及安排就读的学校，同步公布学生到校复核时间（参加微机派位的小升初学生，在网上平台查看派位结果，并于规定时间到中学报到）。</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2.申请人及学生到对应学校复核材料，并确认学位，过期不再复核。</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黑体" w:hAnsi="华文仿宋" w:eastAsia="黑体"/>
          <w:color w:val="000000" w:themeColor="text1"/>
          <w:sz w:val="24"/>
          <w:szCs w:val="24"/>
          <w14:textFill>
            <w14:solidFill>
              <w14:schemeClr w14:val="tx1"/>
            </w14:solidFill>
          </w14:textFill>
        </w:rPr>
        <w:t>（三）8月第四周</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通过复核的学生到相应的学校报到（具体时间见学校公告）。</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黑体" w:hAnsi="华文仿宋" w:eastAsia="黑体"/>
          <w:color w:val="000000" w:themeColor="text1"/>
          <w:sz w:val="24"/>
          <w:szCs w:val="24"/>
          <w14:textFill>
            <w14:solidFill>
              <w14:schemeClr w14:val="tx1"/>
            </w14:solidFill>
          </w14:textFill>
        </w:rPr>
        <w:t>四、提交材料</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14:textFill>
            <w14:solidFill>
              <w14:schemeClr w14:val="tx1"/>
            </w14:solidFill>
          </w14:textFill>
        </w:rPr>
        <w:t>以下材料均需出示原件，提交复印件</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黑体" w:hAnsi="华文仿宋" w:eastAsia="黑体"/>
          <w:color w:val="000000" w:themeColor="text1"/>
          <w:sz w:val="24"/>
          <w:szCs w:val="24"/>
          <w14:textFill>
            <w14:solidFill>
              <w14:schemeClr w14:val="tx1"/>
            </w14:solidFill>
          </w14:textFill>
        </w:rPr>
        <w:t>（一）材料办理</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14:textFill>
            <w14:solidFill>
              <w14:schemeClr w14:val="tx1"/>
            </w14:solidFill>
          </w14:textFill>
        </w:rPr>
        <w:t xml:space="preserve"> </w:t>
      </w: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1.申请人在有效期内的《居民身份证》和《成都市居住证》（或《四川省居住证》）（本市户籍提供有效期内的《居民身份证》）。</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2.申请人及其子女同一户籍的原籍户口簿或其他能够证明其法定监护关系的有效证明（如：《医学出生证明》、《独生子女证》等）。</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3.申请人与</w:t>
      </w:r>
      <w:r>
        <w:rPr>
          <w:rFonts w:hint="eastAsia" w:ascii="仿宋_GB2312" w:hAnsi="仿宋_GB2312" w:eastAsia="仿宋_GB2312" w:cs="仿宋_GB2312"/>
          <w:color w:val="000000" w:themeColor="text1"/>
          <w:sz w:val="24"/>
          <w:szCs w:val="24"/>
          <w:lang w:eastAsia="zh-CN"/>
          <w14:textFill>
            <w14:solidFill>
              <w14:schemeClr w14:val="tx1"/>
            </w14:solidFill>
          </w14:textFill>
        </w:rPr>
        <w:t>“5+2”区域</w:t>
      </w:r>
      <w:r>
        <w:rPr>
          <w:rFonts w:hint="eastAsia" w:ascii="仿宋_GB2312" w:hAnsi="仿宋_GB2312" w:eastAsia="仿宋_GB2312" w:cs="仿宋_GB2312"/>
          <w:color w:val="000000" w:themeColor="text1"/>
          <w:sz w:val="24"/>
          <w:szCs w:val="24"/>
          <w14:textFill>
            <w14:solidFill>
              <w14:schemeClr w14:val="tx1"/>
            </w14:solidFill>
          </w14:textFill>
        </w:rPr>
        <w:t>用人单位依法签订有效期内的《劳动合同》，或申请人在</w:t>
      </w:r>
      <w:r>
        <w:rPr>
          <w:rFonts w:hint="eastAsia" w:ascii="仿宋_GB2312" w:hAnsi="仿宋_GB2312" w:eastAsia="仿宋_GB2312" w:cs="仿宋_GB2312"/>
          <w:color w:val="000000" w:themeColor="text1"/>
          <w:sz w:val="24"/>
          <w:szCs w:val="24"/>
          <w:lang w:eastAsia="zh-CN"/>
          <w14:textFill>
            <w14:solidFill>
              <w14:schemeClr w14:val="tx1"/>
            </w14:solidFill>
          </w14:textFill>
        </w:rPr>
        <w:t>“5+2”区域</w:t>
      </w:r>
      <w:r>
        <w:rPr>
          <w:rFonts w:hint="eastAsia" w:ascii="仿宋_GB2312" w:hAnsi="仿宋_GB2312" w:eastAsia="仿宋_GB2312" w:cs="仿宋_GB2312"/>
          <w:color w:val="000000" w:themeColor="text1"/>
          <w:sz w:val="24"/>
          <w:szCs w:val="24"/>
          <w14:textFill>
            <w14:solidFill>
              <w14:schemeClr w14:val="tx1"/>
            </w14:solidFill>
          </w14:textFill>
        </w:rPr>
        <w:t>办理的工商营业执照及纳税相关材料（免于纳税需提供《核定定额通知书》）。</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4.截止2020年5月1日，申请人已在本市连续依法缴纳城镇职工基本养老保险满12个月的清单（且申请入学当月处于持续缴纳状态）。</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5.截止2020年5月1日，申请人已在武侯区连续居住满一年的相关材料。</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①自购房者：提供房屋所有权证或购房合同，并同时出示由成都市政务中心房产分中心出具的有二维码验证标识的《房屋信息查询记录》或《网签合同信息查询记录》（房屋用途为“住宅”）。</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②居住直系亲属（配偶、子女、父母、祖父母等）自购房者：提供房产证明和亲属关系证明。</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③租住房屋者：提供《房屋租赁登记备案凭证》（房屋用途为“住宅”）。</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④租住公租房或廉租房者：提供租赁合同。</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⑤居住在单位集体宿舍者：提供该单位集体宿舍的房产证明及单位出具的实际居住证明。</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黑体" w:hAnsi="华文仿宋" w:eastAsia="黑体"/>
          <w:color w:val="000000" w:themeColor="text1"/>
          <w:sz w:val="24"/>
          <w:szCs w:val="24"/>
          <w14:textFill>
            <w14:solidFill>
              <w14:schemeClr w14:val="tx1"/>
            </w14:solidFill>
          </w14:textFill>
        </w:rPr>
        <w:t>（二）积分办理</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1.申请人（积分达11分及以上的居住证持有人）在有效期内的《居民身份证》和《四川省居住证》。</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2.申请人及其子女同一户籍的原籍户口簿或其他能够证明其法定监护关系的有效证明（如：《医学出生证明》、《独生子女证》等）。</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3.申请人与</w:t>
      </w:r>
      <w:r>
        <w:rPr>
          <w:rFonts w:hint="eastAsia" w:ascii="仿宋_GB2312" w:hAnsi="仿宋_GB2312" w:eastAsia="仿宋_GB2312" w:cs="仿宋_GB2312"/>
          <w:color w:val="000000" w:themeColor="text1"/>
          <w:sz w:val="24"/>
          <w:szCs w:val="24"/>
          <w:lang w:eastAsia="zh-CN"/>
          <w14:textFill>
            <w14:solidFill>
              <w14:schemeClr w14:val="tx1"/>
            </w14:solidFill>
          </w14:textFill>
        </w:rPr>
        <w:t>“5+2”区域</w:t>
      </w:r>
      <w:r>
        <w:rPr>
          <w:rFonts w:hint="eastAsia" w:ascii="仿宋_GB2312" w:hAnsi="仿宋_GB2312" w:eastAsia="仿宋_GB2312" w:cs="仿宋_GB2312"/>
          <w:color w:val="000000" w:themeColor="text1"/>
          <w:sz w:val="24"/>
          <w:szCs w:val="24"/>
          <w14:textFill>
            <w14:solidFill>
              <w14:schemeClr w14:val="tx1"/>
            </w14:solidFill>
          </w14:textFill>
        </w:rPr>
        <w:t>用人单位依法签订有效期内的《劳动合同》，或申请人在</w:t>
      </w:r>
      <w:r>
        <w:rPr>
          <w:rFonts w:hint="eastAsia" w:ascii="仿宋_GB2312" w:hAnsi="仿宋_GB2312" w:eastAsia="仿宋_GB2312" w:cs="仿宋_GB2312"/>
          <w:color w:val="000000" w:themeColor="text1"/>
          <w:sz w:val="24"/>
          <w:szCs w:val="24"/>
          <w:lang w:eastAsia="zh-CN"/>
          <w14:textFill>
            <w14:solidFill>
              <w14:schemeClr w14:val="tx1"/>
            </w14:solidFill>
          </w14:textFill>
        </w:rPr>
        <w:t>“5+2”区域</w:t>
      </w:r>
      <w:r>
        <w:rPr>
          <w:rFonts w:hint="eastAsia" w:ascii="仿宋_GB2312" w:hAnsi="仿宋_GB2312" w:eastAsia="仿宋_GB2312" w:cs="仿宋_GB2312"/>
          <w:color w:val="000000" w:themeColor="text1"/>
          <w:sz w:val="24"/>
          <w:szCs w:val="24"/>
          <w14:textFill>
            <w14:solidFill>
              <w14:schemeClr w14:val="tx1"/>
            </w14:solidFill>
          </w14:textFill>
        </w:rPr>
        <w:t>办理的工商营业执照及纳税相关材料（免于纳税需提供《核定定额通知书》）。</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4.现场核验积分信息（其中缴纳城镇职工基本养老保险得分不低于10分，在武侯区合法稳定居住指标或累计居住指标不低于1分）。 </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14:textFill>
            <w14:solidFill>
              <w14:schemeClr w14:val="tx1"/>
            </w14:solidFill>
          </w14:textFill>
        </w:rPr>
        <w:t>重要提示：</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14:textFill>
            <w14:solidFill>
              <w14:schemeClr w14:val="tx1"/>
            </w14:solidFill>
          </w14:textFill>
        </w:rPr>
        <w:t xml:space="preserve">     1.申请非毕业年级转学，须提交原就读学校签章的学籍信息（学籍证明需含学生姓名、身份证号、国网学籍号、现就读年级等信息）。</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14:textFill>
            <w14:solidFill>
              <w14:schemeClr w14:val="tx1"/>
            </w14:solidFill>
          </w14:textFill>
        </w:rPr>
        <w:t xml:space="preserve">     2.各街道便民中心可以办理房屋租赁备案，现场打印社保信息单、房屋租赁备案凭证。</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14:textFill>
            <w14:solidFill>
              <w14:schemeClr w14:val="tx1"/>
            </w14:solidFill>
          </w14:textFill>
        </w:rPr>
        <w:t xml:space="preserve">     3.在入学安排过程中，发现提供虚假信息、证件和其他材料弄虚作假者，一经查实将取消其入学资格。</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黑体" w:hAnsi="华文仿宋" w:eastAsia="黑体"/>
          <w:color w:val="000000" w:themeColor="text1"/>
          <w:sz w:val="24"/>
          <w:szCs w:val="24"/>
          <w14:textFill>
            <w14:solidFill>
              <w14:schemeClr w14:val="tx1"/>
            </w14:solidFill>
          </w14:textFill>
        </w:rPr>
        <w:t>五、入学安排原则</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区教育局负责统筹安排符合政策条件的流动人员随迁子女的入（转）学工作，特提醒家长注意：</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1.部分公办教育资源紧缺的片区，如簇桥、簇锦、机投、金花、华兴等片区，可能会统筹安排进入政府委托的民办学校就读。</w:t>
      </w:r>
    </w:p>
    <w:p>
      <w:pPr>
        <w:ind w:firstLine="450" w:firstLineChars="15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2.已在</w:t>
      </w:r>
      <w:r>
        <w:rPr>
          <w:rFonts w:hint="eastAsia" w:ascii="仿宋_GB2312" w:hAnsi="仿宋_GB2312" w:eastAsia="仿宋_GB2312" w:cs="仿宋_GB2312"/>
          <w:color w:val="000000" w:themeColor="text1"/>
          <w:sz w:val="24"/>
          <w:szCs w:val="24"/>
          <w:lang w:eastAsia="zh-CN"/>
          <w14:textFill>
            <w14:solidFill>
              <w14:schemeClr w14:val="tx1"/>
            </w14:solidFill>
          </w14:textFill>
        </w:rPr>
        <w:t>“5+2”区域</w:t>
      </w:r>
      <w:r>
        <w:rPr>
          <w:rFonts w:hint="eastAsia" w:ascii="仿宋_GB2312" w:hAnsi="仿宋_GB2312" w:eastAsia="仿宋_GB2312" w:cs="仿宋_GB2312"/>
          <w:color w:val="000000" w:themeColor="text1"/>
          <w:sz w:val="24"/>
          <w:szCs w:val="24"/>
          <w14:textFill>
            <w14:solidFill>
              <w14:schemeClr w14:val="tx1"/>
            </w14:solidFill>
          </w14:textFill>
        </w:rPr>
        <w:t>内义务教育阶段学校（含政府购买学位的民办学校）就读的</w:t>
      </w:r>
      <w:r>
        <w:rPr>
          <w:rFonts w:hint="eastAsia" w:ascii="仿宋_GB2312" w:hAnsi="仿宋_GB2312" w:eastAsia="仿宋_GB2312" w:cs="仿宋_GB2312"/>
          <w:color w:val="000000" w:themeColor="text1"/>
          <w:sz w:val="24"/>
          <w:szCs w:val="24"/>
          <w:lang w:eastAsia="zh-CN"/>
          <w14:textFill>
            <w14:solidFill>
              <w14:schemeClr w14:val="tx1"/>
            </w14:solidFill>
          </w14:textFill>
        </w:rPr>
        <w:t>流动</w:t>
      </w:r>
      <w:r>
        <w:rPr>
          <w:rFonts w:hint="eastAsia" w:ascii="仿宋_GB2312" w:hAnsi="仿宋_GB2312" w:eastAsia="仿宋_GB2312" w:cs="仿宋_GB2312"/>
          <w:color w:val="000000" w:themeColor="text1"/>
          <w:sz w:val="24"/>
          <w:szCs w:val="24"/>
          <w14:textFill>
            <w14:solidFill>
              <w14:schemeClr w14:val="tx1"/>
            </w14:solidFill>
          </w14:textFill>
        </w:rPr>
        <w:t>人员</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随迁子女</w:t>
      </w:r>
      <w:r>
        <w:rPr>
          <w:rFonts w:hint="eastAsia" w:ascii="仿宋_GB2312" w:hAnsi="仿宋_GB2312" w:eastAsia="仿宋_GB2312" w:cs="仿宋_GB2312"/>
          <w:color w:val="000000" w:themeColor="text1"/>
          <w:sz w:val="24"/>
          <w:szCs w:val="24"/>
          <w14:textFill>
            <w14:solidFill>
              <w14:schemeClr w14:val="tx1"/>
            </w14:solidFill>
          </w14:textFill>
        </w:rPr>
        <w:t>，同一学段不办理</w:t>
      </w:r>
      <w:r>
        <w:rPr>
          <w:rFonts w:hint="eastAsia" w:ascii="仿宋_GB2312" w:hAnsi="仿宋_GB2312" w:eastAsia="仿宋_GB2312" w:cs="仿宋_GB2312"/>
          <w:color w:val="000000" w:themeColor="text1"/>
          <w:sz w:val="24"/>
          <w:szCs w:val="24"/>
          <w:lang w:eastAsia="zh-CN"/>
          <w14:textFill>
            <w14:solidFill>
              <w14:schemeClr w14:val="tx1"/>
            </w14:solidFill>
          </w14:textFill>
        </w:rPr>
        <w:t>“5+2”区域</w:t>
      </w:r>
      <w:r>
        <w:rPr>
          <w:rFonts w:hint="eastAsia" w:ascii="仿宋_GB2312" w:hAnsi="仿宋_GB2312" w:eastAsia="仿宋_GB2312" w:cs="仿宋_GB2312"/>
          <w:color w:val="000000" w:themeColor="text1"/>
          <w:sz w:val="24"/>
          <w:szCs w:val="24"/>
          <w14:textFill>
            <w14:solidFill>
              <w14:schemeClr w14:val="tx1"/>
            </w14:solidFill>
          </w14:textFill>
        </w:rPr>
        <w:t>内转学，继续在原</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学</w:t>
      </w:r>
      <w:r>
        <w:rPr>
          <w:rFonts w:hint="eastAsia" w:ascii="仿宋_GB2312" w:hAnsi="仿宋_GB2312" w:eastAsia="仿宋_GB2312" w:cs="仿宋_GB2312"/>
          <w:color w:val="000000" w:themeColor="text1"/>
          <w:sz w:val="24"/>
          <w:szCs w:val="24"/>
          <w14:textFill>
            <w14:solidFill>
              <w14:schemeClr w14:val="tx1"/>
            </w14:solidFill>
          </w14:textFill>
        </w:rPr>
        <w:t>校就读，直至完成该学段学习。</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3.小学毕业生按照2020年成都市小学毕业生升入初中学校相关政策安排升学，居住地跨区（市）县变更的，由现居住地教育局统筹安排就学。</w:t>
      </w:r>
    </w:p>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lang w:val="en-US" w:eastAsia="zh-CN"/>
          <w14:textFill>
            <w14:solidFill>
              <w14:schemeClr w14:val="tx1"/>
            </w14:solidFill>
          </w14:textFill>
        </w:rPr>
        <w:t xml:space="preserve">    </w:t>
      </w:r>
      <w:r>
        <w:rPr>
          <w:rFonts w:hint="eastAsia" w:ascii="黑体" w:hAnsi="华文仿宋" w:eastAsia="黑体"/>
          <w:color w:val="000000" w:themeColor="text1"/>
          <w:sz w:val="24"/>
          <w:szCs w:val="24"/>
          <w14:textFill>
            <w14:solidFill>
              <w14:schemeClr w14:val="tx1"/>
            </w14:solidFill>
          </w14:textFill>
        </w:rPr>
        <w:t>六、咨询方式</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1.登录成都市教育局（www.cdedu.gov.cn）及武侯区教育局官方网站查询相关政策文件及解读。</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2.扫描</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下方</w:t>
      </w:r>
      <w:r>
        <w:rPr>
          <w:rFonts w:hint="eastAsia" w:ascii="仿宋_GB2312" w:hAnsi="仿宋_GB2312" w:eastAsia="仿宋_GB2312" w:cs="仿宋_GB2312"/>
          <w:color w:val="000000" w:themeColor="text1"/>
          <w:sz w:val="24"/>
          <w:szCs w:val="24"/>
          <w14:textFill>
            <w14:solidFill>
              <w14:schemeClr w14:val="tx1"/>
            </w14:solidFill>
          </w14:textFill>
        </w:rPr>
        <w:t>二维码关注成都教育、武侯教育微信公众号，获取相关信息。</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3.拨打相关部门咨询电话：</w:t>
      </w:r>
    </w:p>
    <w:tbl>
      <w:tblPr>
        <w:tblStyle w:val="3"/>
        <w:tblpPr w:leftFromText="180" w:rightFromText="180" w:vertAnchor="text" w:horzAnchor="page" w:tblpX="981" w:tblpY="59"/>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2430"/>
        <w:gridCol w:w="235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20"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浆洗街道办登记点</w:t>
            </w:r>
          </w:p>
        </w:tc>
        <w:tc>
          <w:tcPr>
            <w:tcW w:w="2430"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85597952</w:t>
            </w:r>
          </w:p>
        </w:tc>
        <w:tc>
          <w:tcPr>
            <w:tcW w:w="2355"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簇锦街道办登记点</w:t>
            </w:r>
          </w:p>
        </w:tc>
        <w:tc>
          <w:tcPr>
            <w:tcW w:w="2955"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85031038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220"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望江街道办登记点</w:t>
            </w:r>
          </w:p>
        </w:tc>
        <w:tc>
          <w:tcPr>
            <w:tcW w:w="2430"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85259510</w:t>
            </w:r>
          </w:p>
        </w:tc>
        <w:tc>
          <w:tcPr>
            <w:tcW w:w="2355"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华兴街道办登记点</w:t>
            </w:r>
          </w:p>
        </w:tc>
        <w:tc>
          <w:tcPr>
            <w:tcW w:w="2955"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85006930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220"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火南街道办登记点</w:t>
            </w:r>
          </w:p>
        </w:tc>
        <w:tc>
          <w:tcPr>
            <w:tcW w:w="2430"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85227152</w:t>
            </w:r>
          </w:p>
        </w:tc>
        <w:tc>
          <w:tcPr>
            <w:tcW w:w="2355"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簇桥街道办登记点</w:t>
            </w:r>
          </w:p>
        </w:tc>
        <w:tc>
          <w:tcPr>
            <w:tcW w:w="2955" w:type="dxa"/>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85013569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220"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跳伞塔街道办登记点</w:t>
            </w:r>
          </w:p>
        </w:tc>
        <w:tc>
          <w:tcPr>
            <w:tcW w:w="2430"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85221291</w:t>
            </w:r>
          </w:p>
        </w:tc>
        <w:tc>
          <w:tcPr>
            <w:tcW w:w="2355"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金花桥街道办登记点</w:t>
            </w:r>
          </w:p>
        </w:tc>
        <w:tc>
          <w:tcPr>
            <w:tcW w:w="2955"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85370444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220"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玉林街道办登记点</w:t>
            </w:r>
          </w:p>
        </w:tc>
        <w:tc>
          <w:tcPr>
            <w:tcW w:w="2430"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85568291</w:t>
            </w:r>
          </w:p>
        </w:tc>
        <w:tc>
          <w:tcPr>
            <w:tcW w:w="2355"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武侯新城管委会登记点</w:t>
            </w:r>
          </w:p>
        </w:tc>
        <w:tc>
          <w:tcPr>
            <w:tcW w:w="2955"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85002739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220"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双楠街道办登记点</w:t>
            </w:r>
          </w:p>
        </w:tc>
        <w:tc>
          <w:tcPr>
            <w:tcW w:w="2430"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85043664</w:t>
            </w:r>
          </w:p>
        </w:tc>
        <w:tc>
          <w:tcPr>
            <w:tcW w:w="2355"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武侯区人社局</w:t>
            </w:r>
          </w:p>
        </w:tc>
        <w:tc>
          <w:tcPr>
            <w:tcW w:w="2955" w:type="dxa"/>
            <w:vAlign w:val="center"/>
          </w:tcPr>
          <w:p>
            <w:pPr>
              <w:widowControl/>
              <w:spacing w:line="320" w:lineRule="exact"/>
              <w:jc w:val="center"/>
              <w:rPr>
                <w:rFonts w:hint="eastAsia" w:ascii="仿宋" w:hAnsi="仿宋" w:eastAsia="仿宋" w:cs="仿宋"/>
                <w:color w:val="FF0000"/>
                <w:kern w:val="0"/>
                <w:szCs w:val="21"/>
              </w:rPr>
            </w:pPr>
            <w:r>
              <w:rPr>
                <w:rFonts w:hint="eastAsia" w:ascii="仿宋" w:hAnsi="仿宋" w:eastAsia="仿宋" w:cs="仿宋"/>
                <w:kern w:val="0"/>
                <w:szCs w:val="21"/>
              </w:rPr>
              <w:t>12333/85064381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220"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红牌楼街道办登记点</w:t>
            </w:r>
          </w:p>
        </w:tc>
        <w:tc>
          <w:tcPr>
            <w:tcW w:w="2430"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850</w:t>
            </w:r>
            <w:r>
              <w:rPr>
                <w:rFonts w:hint="eastAsia" w:ascii="仿宋" w:hAnsi="仿宋" w:eastAsia="仿宋" w:cs="仿宋"/>
                <w:kern w:val="0"/>
                <w:szCs w:val="21"/>
                <w:lang w:val="en-US" w:eastAsia="zh-CN"/>
              </w:rPr>
              <w:t>89791</w:t>
            </w:r>
          </w:p>
        </w:tc>
        <w:tc>
          <w:tcPr>
            <w:tcW w:w="2355"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武侯区</w:t>
            </w:r>
            <w:r>
              <w:rPr>
                <w:rFonts w:hint="eastAsia" w:ascii="仿宋" w:hAnsi="仿宋" w:eastAsia="仿宋" w:cs="仿宋"/>
                <w:b/>
                <w:bCs/>
                <w:kern w:val="0"/>
                <w:szCs w:val="21"/>
                <w:lang w:val="en-US" w:eastAsia="zh-CN"/>
              </w:rPr>
              <w:t>住建交</w:t>
            </w:r>
            <w:r>
              <w:rPr>
                <w:rFonts w:hint="eastAsia" w:ascii="仿宋" w:hAnsi="仿宋" w:eastAsia="仿宋" w:cs="仿宋"/>
                <w:b/>
                <w:bCs/>
                <w:kern w:val="0"/>
                <w:szCs w:val="21"/>
              </w:rPr>
              <w:t>局</w:t>
            </w:r>
          </w:p>
        </w:tc>
        <w:tc>
          <w:tcPr>
            <w:tcW w:w="2955"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color w:val="000000" w:themeColor="text1"/>
                <w:kern w:val="0"/>
                <w:szCs w:val="21"/>
                <w14:textFill>
                  <w14:solidFill>
                    <w14:schemeClr w14:val="tx1"/>
                  </w14:solidFill>
                </w14:textFill>
              </w:rPr>
              <w:t>96166</w:t>
            </w:r>
            <w:r>
              <w:rPr>
                <w:rFonts w:hint="eastAsia" w:ascii="仿宋" w:hAnsi="仿宋" w:eastAsia="仿宋" w:cs="仿宋"/>
                <w:color w:val="000000" w:themeColor="text1"/>
                <w:kern w:val="0"/>
                <w:szCs w:val="21"/>
                <w:lang w:val="en-US" w:eastAsia="zh-CN"/>
                <w14:textFill>
                  <w14:solidFill>
                    <w14:schemeClr w14:val="tx1"/>
                  </w14:solidFill>
                </w14:textFill>
              </w:rPr>
              <w:t>/85064617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220"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晋阳街道办登记点</w:t>
            </w:r>
          </w:p>
        </w:tc>
        <w:tc>
          <w:tcPr>
            <w:tcW w:w="2430"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87431260</w:t>
            </w:r>
          </w:p>
        </w:tc>
        <w:tc>
          <w:tcPr>
            <w:tcW w:w="2355"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武侯区公安分局</w:t>
            </w:r>
          </w:p>
        </w:tc>
        <w:tc>
          <w:tcPr>
            <w:tcW w:w="2955"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96166/68909219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220"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机投桥街道办登记点</w:t>
            </w:r>
          </w:p>
        </w:tc>
        <w:tc>
          <w:tcPr>
            <w:tcW w:w="2430" w:type="dxa"/>
            <w:vAlign w:val="center"/>
          </w:tcPr>
          <w:p>
            <w:pPr>
              <w:widowControl/>
              <w:spacing w:line="320" w:lineRule="exact"/>
              <w:jc w:val="center"/>
              <w:rPr>
                <w:rFonts w:hint="eastAsia" w:ascii="仿宋" w:hAnsi="仿宋" w:eastAsia="仿宋" w:cs="仿宋"/>
                <w:kern w:val="0"/>
                <w:szCs w:val="21"/>
              </w:rPr>
            </w:pPr>
            <w:r>
              <w:rPr>
                <w:rFonts w:hint="eastAsia" w:ascii="仿宋" w:hAnsi="仿宋" w:eastAsia="仿宋" w:cs="仿宋"/>
                <w:kern w:val="0"/>
                <w:szCs w:val="21"/>
              </w:rPr>
              <w:t>87483776</w:t>
            </w:r>
          </w:p>
        </w:tc>
        <w:tc>
          <w:tcPr>
            <w:tcW w:w="2355" w:type="dxa"/>
            <w:vAlign w:val="center"/>
          </w:tcPr>
          <w:p>
            <w:pPr>
              <w:widowControl/>
              <w:spacing w:line="320" w:lineRule="exact"/>
              <w:jc w:val="center"/>
              <w:rPr>
                <w:rFonts w:hint="eastAsia" w:ascii="仿宋" w:hAnsi="仿宋" w:eastAsia="仿宋" w:cs="仿宋"/>
                <w:b/>
                <w:bCs/>
                <w:kern w:val="0"/>
                <w:szCs w:val="21"/>
              </w:rPr>
            </w:pPr>
            <w:r>
              <w:rPr>
                <w:rFonts w:hint="eastAsia" w:ascii="仿宋" w:hAnsi="仿宋" w:eastAsia="仿宋" w:cs="仿宋"/>
                <w:b/>
                <w:bCs/>
                <w:kern w:val="0"/>
                <w:szCs w:val="21"/>
              </w:rPr>
              <w:t>武侯区教育局</w:t>
            </w:r>
          </w:p>
        </w:tc>
        <w:tc>
          <w:tcPr>
            <w:tcW w:w="2955" w:type="dxa"/>
            <w:vAlign w:val="center"/>
          </w:tcPr>
          <w:p>
            <w:pPr>
              <w:widowControl/>
              <w:spacing w:line="320" w:lineRule="exact"/>
              <w:rPr>
                <w:rFonts w:hint="eastAsia" w:ascii="仿宋" w:hAnsi="仿宋" w:eastAsia="仿宋" w:cs="仿宋"/>
                <w:kern w:val="0"/>
                <w:szCs w:val="21"/>
              </w:rPr>
            </w:pPr>
            <w:r>
              <w:rPr>
                <w:rFonts w:hint="eastAsia" w:ascii="仿宋" w:hAnsi="仿宋" w:eastAsia="仿宋" w:cs="仿宋"/>
                <w:kern w:val="0"/>
                <w:szCs w:val="21"/>
              </w:rPr>
              <w:t>小学85061586 中学85077562</w:t>
            </w:r>
          </w:p>
        </w:tc>
      </w:tr>
    </w:tbl>
    <w:p>
      <w:pPr>
        <w:jc w:val="left"/>
        <w:rPr>
          <w:rFonts w:hint="eastAsia" w:ascii="黑体" w:hAnsi="华文仿宋" w:eastAsia="黑体"/>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14:textFill>
            <w14:solidFill>
              <w14:schemeClr w14:val="tx1"/>
            </w14:solidFill>
          </w14:textFill>
        </w:rPr>
        <w:t xml:space="preserve">温馨提示：   </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黑体" w:hAnsi="华文仿宋" w:eastAsia="黑体"/>
          <w:color w:val="000000" w:themeColor="text1"/>
          <w:sz w:val="24"/>
          <w:szCs w:val="24"/>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1.建议申请人将卡式《成都市居住证》换成本式《四川省居住证》。</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 xml:space="preserve">     2.小学、初中毕业年级（小学六年级、初中三年级）不接收转学生。</w:t>
      </w:r>
    </w:p>
    <w:p>
      <w:pPr>
        <w:ind w:firstLine="480"/>
        <w:jc w:val="left"/>
        <w:rPr>
          <w:rFonts w:ascii="仿宋_GB2312" w:hAnsi="楷体" w:eastAsia="仿宋_GB2312"/>
          <w:sz w:val="24"/>
        </w:rPr>
      </w:pPr>
    </w:p>
    <w:p>
      <w:pPr>
        <w:ind w:firstLine="480"/>
        <w:jc w:val="left"/>
        <w:rPr>
          <w:rFonts w:ascii="仿宋_GB2312" w:hAnsi="楷体" w:eastAsia="仿宋_GB2312"/>
          <w:sz w:val="24"/>
        </w:rPr>
      </w:pPr>
      <w:r>
        <w:rPr>
          <w:rFonts w:hint="eastAsia" w:ascii="仿宋_GB2312" w:hAnsi="楷体" w:eastAsia="仿宋_GB2312"/>
          <w:sz w:val="24"/>
        </w:rPr>
        <w:drawing>
          <wp:inline distT="0" distB="0" distL="114300" distR="114300">
            <wp:extent cx="990600" cy="990600"/>
            <wp:effectExtent l="0" t="0" r="0" b="0"/>
            <wp:docPr id="3" name="图片 3" descr="4e12dca318941e96218637240ba3a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e12dca318941e96218637240ba3a99"/>
                    <pic:cNvPicPr>
                      <a:picLocks noChangeAspect="1"/>
                    </pic:cNvPicPr>
                  </pic:nvPicPr>
                  <pic:blipFill>
                    <a:blip r:embed="rId4"/>
                    <a:stretch>
                      <a:fillRect/>
                    </a:stretch>
                  </pic:blipFill>
                  <pic:spPr>
                    <a:xfrm>
                      <a:off x="0" y="0"/>
                      <a:ext cx="990600" cy="990600"/>
                    </a:xfrm>
                    <a:prstGeom prst="rect">
                      <a:avLst/>
                    </a:prstGeom>
                  </pic:spPr>
                </pic:pic>
              </a:graphicData>
            </a:graphic>
          </wp:inline>
        </w:drawing>
      </w:r>
      <w:r>
        <w:rPr>
          <w:rFonts w:hint="eastAsia" w:ascii="仿宋_GB2312" w:hAnsi="楷体" w:eastAsia="仿宋_GB2312"/>
          <w:sz w:val="24"/>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INCLUDEPICTURE \d "C:\\Users\\Thtfpc\\Documents\\Tencent Files\\270175331\\Image\\Group2\\`A\\X7\\`AX7$(QJJD`CI]YH6RCW{U6.jpg"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1103630" cy="987425"/>
            <wp:effectExtent l="0" t="0" r="127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103630" cy="987425"/>
                    </a:xfrm>
                    <a:prstGeom prst="rect">
                      <a:avLst/>
                    </a:prstGeom>
                    <a:noFill/>
                    <a:ln w="9525">
                      <a:noFill/>
                    </a:ln>
                  </pic:spPr>
                </pic:pic>
              </a:graphicData>
            </a:graphic>
          </wp:inline>
        </w:drawing>
      </w:r>
      <w:r>
        <w:rPr>
          <w:rFonts w:ascii="宋体" w:hAnsi="宋体" w:eastAsia="宋体" w:cs="宋体"/>
          <w:sz w:val="24"/>
          <w:szCs w:val="24"/>
        </w:rPr>
        <w:fldChar w:fldCharType="end"/>
      </w:r>
      <w:bookmarkStart w:id="0" w:name="_GoBack"/>
      <w:bookmarkEnd w:id="0"/>
    </w:p>
    <w:p>
      <w:pPr>
        <w:ind w:firstLine="480"/>
        <w:jc w:val="left"/>
        <w:rPr>
          <w:rFonts w:ascii="仿宋_GB2312" w:hAnsi="楷体" w:eastAsia="仿宋_GB2312"/>
          <w:sz w:val="24"/>
        </w:rPr>
      </w:pPr>
    </w:p>
    <w:p>
      <w:pPr>
        <w:jc w:val="left"/>
      </w:pPr>
    </w:p>
    <w:sectPr>
      <w:pgSz w:w="11906" w:h="16838"/>
      <w:pgMar w:top="873" w:right="663" w:bottom="873" w:left="6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造字工房悦黑（非商用）细体">
    <w:panose1 w:val="00000000000000000000"/>
    <w:charset w:val="86"/>
    <w:family w:val="auto"/>
    <w:pitch w:val="default"/>
    <w:sig w:usb0="00000001" w:usb1="08010000" w:usb2="00000000" w:usb3="00000000" w:csb0="00040001" w:csb1="00000000"/>
  </w:font>
  <w:font w:name="迷你繁启体">
    <w:panose1 w:val="03000509000000000000"/>
    <w:charset w:val="86"/>
    <w:family w:val="auto"/>
    <w:pitch w:val="default"/>
    <w:sig w:usb0="00000001" w:usb1="080E0000" w:usb2="00000000" w:usb3="00000000" w:csb0="00040000" w:csb1="00000000"/>
  </w:font>
  <w:font w:name="迷你简启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AA1D5A"/>
    <w:rsid w:val="00020E2D"/>
    <w:rsid w:val="00B820AC"/>
    <w:rsid w:val="02D20AF7"/>
    <w:rsid w:val="04B97A80"/>
    <w:rsid w:val="04E41259"/>
    <w:rsid w:val="086A376B"/>
    <w:rsid w:val="0AAF1039"/>
    <w:rsid w:val="0EA0089E"/>
    <w:rsid w:val="106F6B6D"/>
    <w:rsid w:val="10917BD9"/>
    <w:rsid w:val="1AC06690"/>
    <w:rsid w:val="1B516886"/>
    <w:rsid w:val="1B546439"/>
    <w:rsid w:val="1EAD7056"/>
    <w:rsid w:val="219433F3"/>
    <w:rsid w:val="254F6BF0"/>
    <w:rsid w:val="27A0309E"/>
    <w:rsid w:val="294B1A22"/>
    <w:rsid w:val="2A4017C1"/>
    <w:rsid w:val="2CFF7AD2"/>
    <w:rsid w:val="34582958"/>
    <w:rsid w:val="38F601AC"/>
    <w:rsid w:val="3C723D89"/>
    <w:rsid w:val="3ED3168F"/>
    <w:rsid w:val="42AA1D5A"/>
    <w:rsid w:val="433E7535"/>
    <w:rsid w:val="464D3217"/>
    <w:rsid w:val="48065A1B"/>
    <w:rsid w:val="4BE4561E"/>
    <w:rsid w:val="523531DB"/>
    <w:rsid w:val="5F103712"/>
    <w:rsid w:val="5FA45EB8"/>
    <w:rsid w:val="644D3C8B"/>
    <w:rsid w:val="6C960C0B"/>
    <w:rsid w:val="6E407CFC"/>
    <w:rsid w:val="73853969"/>
    <w:rsid w:val="75AC12FC"/>
    <w:rsid w:val="75F86FCC"/>
    <w:rsid w:val="7B007921"/>
    <w:rsid w:val="7B093B3F"/>
    <w:rsid w:val="7B1A440E"/>
    <w:rsid w:val="7D575AC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3</Pages>
  <Words>417</Words>
  <Characters>2377</Characters>
  <Lines>19</Lines>
  <Paragraphs>5</Paragraphs>
  <ScaleCrop>false</ScaleCrop>
  <LinksUpToDate>false</LinksUpToDate>
  <CharactersWithSpaces>2789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2019-12-04T01:43:00Z</dcterms:created>
  <dc:creator>Thtfpc</dc:creator>
  <cp:lastModifiedBy>Thtfpc</cp:lastModifiedBy>
  <cp:lastPrinted>2019-12-02T07:05:00Z</cp:lastPrinted>
  <dcterms:modified xsi:type="dcterms:W3CDTF">2019-12-17T05:29:03Z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